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4D5" w:rsidRPr="00CA26CE" w:rsidRDefault="008B54D5" w:rsidP="008B54D5">
      <w:pPr>
        <w:pStyle w:val="Header"/>
        <w:rPr>
          <w:bCs/>
          <w:noProof w:val="0"/>
          <w:sz w:val="24"/>
          <w:lang w:val="en-GB"/>
        </w:rPr>
      </w:pPr>
      <w:bookmarkStart w:id="0" w:name="_GoBack"/>
      <w:bookmarkEnd w:id="0"/>
      <w:r w:rsidRPr="00CA26CE">
        <w:rPr>
          <w:bCs/>
          <w:noProof w:val="0"/>
          <w:sz w:val="24"/>
          <w:lang w:val="en-GB"/>
        </w:rPr>
        <w:t>3GPP TSG-RAN WG1 #8</w:t>
      </w:r>
      <w:r>
        <w:rPr>
          <w:bCs/>
          <w:noProof w:val="0"/>
          <w:sz w:val="24"/>
          <w:lang w:val="en-GB"/>
        </w:rPr>
        <w:t>7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R1-16</w:t>
      </w:r>
      <w:r>
        <w:rPr>
          <w:bCs/>
          <w:noProof w:val="0"/>
          <w:sz w:val="24"/>
          <w:lang w:val="en-GB"/>
        </w:rPr>
        <w:t>1</w:t>
      </w:r>
      <w:r w:rsidR="00083102">
        <w:rPr>
          <w:bCs/>
          <w:noProof w:val="0"/>
          <w:sz w:val="24"/>
          <w:lang w:val="en-GB"/>
        </w:rPr>
        <w:t>2266</w:t>
      </w:r>
    </w:p>
    <w:p w:rsidR="008B54D5" w:rsidRDefault="008B54D5" w:rsidP="008B54D5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USA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November</w:t>
      </w:r>
      <w:r w:rsidRPr="00CA26CE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14-18</w:t>
      </w:r>
      <w:r w:rsidRPr="00CA26CE">
        <w:rPr>
          <w:bCs/>
          <w:noProof w:val="0"/>
          <w:sz w:val="24"/>
          <w:lang w:val="en-GB"/>
        </w:rPr>
        <w:t>, 2016</w:t>
      </w:r>
    </w:p>
    <w:p w:rsidR="008B54D5" w:rsidRPr="0016316A" w:rsidRDefault="008B54D5" w:rsidP="008B54D5">
      <w:pPr>
        <w:pStyle w:val="Header"/>
        <w:rPr>
          <w:bCs/>
          <w:noProof w:val="0"/>
          <w:sz w:val="24"/>
          <w:lang w:val="en-GB" w:eastAsia="ja-JP"/>
        </w:rPr>
      </w:pPr>
    </w:p>
    <w:p w:rsidR="008B54D5" w:rsidRPr="001E5981" w:rsidRDefault="008B54D5" w:rsidP="008B54D5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7.1.1</w:t>
      </w:r>
    </w:p>
    <w:p w:rsidR="008B54D5" w:rsidRPr="001E5981" w:rsidRDefault="008B54D5" w:rsidP="008B54D5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013455">
        <w:rPr>
          <w:rFonts w:ascii="Arial" w:hAnsi="Arial" w:cs="Arial"/>
          <w:b/>
          <w:bCs/>
          <w:sz w:val="24"/>
        </w:rPr>
        <w:t>Nokia, Alcatel-Lucent Shanghai Bell</w:t>
      </w:r>
    </w:p>
    <w:p w:rsidR="008B54D5" w:rsidRPr="0016316A" w:rsidRDefault="008B54D5" w:rsidP="008B54D5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Supported numerologies for NR Phase I</w:t>
      </w:r>
    </w:p>
    <w:p w:rsidR="008B54D5" w:rsidRPr="0016316A" w:rsidRDefault="008B54D5" w:rsidP="008B54D5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215822" w:rsidRDefault="002256D9" w:rsidP="006427E0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>The goal is to achieve a single technical framework addressing all usage scenarios, requirements and deployment scenarios defined in TR38.913 [2].</w:t>
      </w:r>
      <w:r w:rsidR="00215822">
        <w:rPr>
          <w:bCs/>
        </w:rPr>
        <w:t xml:space="preserve"> The learnings from LTE have shown that in order to support this wide range of spectrum bands is not efficient with a single OFDM numerology.</w:t>
      </w:r>
    </w:p>
    <w:p w:rsidR="00215822" w:rsidRDefault="00215822" w:rsidP="006427E0">
      <w:pPr>
        <w:spacing w:after="120"/>
        <w:jc w:val="both"/>
        <w:rPr>
          <w:bCs/>
        </w:rPr>
      </w:pPr>
      <w:r>
        <w:rPr>
          <w:bCs/>
        </w:rPr>
        <w:t>The following agreements on numerology was made in RAN1#86 [3]:</w:t>
      </w:r>
    </w:p>
    <w:p w:rsidR="00215822" w:rsidRPr="00215822" w:rsidRDefault="00215822" w:rsidP="00215822">
      <w:p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szCs w:val="24"/>
          <w:lang w:eastAsia="ja-JP"/>
        </w:rPr>
      </w:pPr>
    </w:p>
    <w:p w:rsidR="00215822" w:rsidRPr="00215822" w:rsidRDefault="00215822" w:rsidP="00215822">
      <w:pPr>
        <w:overflowPunct/>
        <w:autoSpaceDE/>
        <w:autoSpaceDN/>
        <w:adjustRightInd/>
        <w:spacing w:after="0"/>
        <w:ind w:left="1724" w:hanging="1440"/>
        <w:textAlignment w:val="auto"/>
        <w:rPr>
          <w:rFonts w:ascii="Times" w:eastAsia="MS Mincho" w:hAnsi="Times"/>
          <w:b/>
          <w:szCs w:val="24"/>
          <w:u w:val="single"/>
          <w:lang w:eastAsia="ja-JP"/>
        </w:rPr>
      </w:pPr>
      <w:r w:rsidRPr="00215822">
        <w:rPr>
          <w:rFonts w:ascii="Times" w:eastAsia="MS Mincho" w:hAnsi="Times" w:hint="eastAsia"/>
          <w:b/>
          <w:szCs w:val="24"/>
          <w:highlight w:val="green"/>
          <w:u w:val="single"/>
          <w:lang w:eastAsia="ja-JP"/>
        </w:rPr>
        <w:t>Agreements:</w:t>
      </w:r>
    </w:p>
    <w:p w:rsidR="00215822" w:rsidRPr="00215822" w:rsidRDefault="00215822" w:rsidP="00215822">
      <w:pPr>
        <w:numPr>
          <w:ilvl w:val="0"/>
          <w:numId w:val="13"/>
        </w:numPr>
        <w:overflowPunct/>
        <w:autoSpaceDE/>
        <w:autoSpaceDN/>
        <w:adjustRightInd/>
        <w:spacing w:after="0"/>
        <w:ind w:left="704"/>
        <w:textAlignment w:val="auto"/>
        <w:rPr>
          <w:rFonts w:ascii="Times" w:eastAsia="MS Mincho" w:hAnsi="Times"/>
          <w:szCs w:val="24"/>
          <w:lang w:eastAsia="ja-JP"/>
        </w:rPr>
      </w:pPr>
      <w:r w:rsidRPr="00215822">
        <w:rPr>
          <w:rFonts w:ascii="Times" w:eastAsia="MS Mincho" w:hAnsi="Times" w:hint="eastAsia"/>
          <w:szCs w:val="24"/>
          <w:lang w:eastAsia="ja-JP"/>
        </w:rPr>
        <w:t>NR numerology scalability should allow at least from [3.75 kHz] to</w:t>
      </w:r>
      <w:r>
        <w:rPr>
          <w:rFonts w:ascii="Times" w:eastAsia="MS Mincho" w:hAnsi="Times"/>
          <w:szCs w:val="24"/>
          <w:lang w:eastAsia="ja-JP"/>
        </w:rPr>
        <w:t xml:space="preserve"> </w:t>
      </w:r>
      <w:r w:rsidRPr="00215822">
        <w:rPr>
          <w:rFonts w:ascii="Times" w:eastAsia="MS Mincho" w:hAnsi="Times" w:hint="eastAsia"/>
          <w:szCs w:val="24"/>
          <w:lang w:eastAsia="ja-JP"/>
        </w:rPr>
        <w:t xml:space="preserve">480 kHz subcarrier spacing </w:t>
      </w:r>
    </w:p>
    <w:p w:rsidR="00215822" w:rsidRPr="00215822" w:rsidRDefault="00215822" w:rsidP="00215822">
      <w:pPr>
        <w:numPr>
          <w:ilvl w:val="0"/>
          <w:numId w:val="13"/>
        </w:numPr>
        <w:overflowPunct/>
        <w:autoSpaceDE/>
        <w:autoSpaceDN/>
        <w:adjustRightInd/>
        <w:spacing w:after="0"/>
        <w:ind w:left="704"/>
        <w:textAlignment w:val="auto"/>
        <w:rPr>
          <w:rFonts w:ascii="Times" w:eastAsia="MS Mincho" w:hAnsi="Times"/>
          <w:szCs w:val="24"/>
          <w:lang w:eastAsia="ja-JP"/>
        </w:rPr>
      </w:pPr>
      <w:r w:rsidRPr="00215822">
        <w:rPr>
          <w:rFonts w:ascii="Times" w:eastAsia="MS Mincho" w:hAnsi="Times" w:hint="eastAsia"/>
          <w:szCs w:val="24"/>
          <w:lang w:eastAsia="ja-JP"/>
        </w:rPr>
        <w:t>Necessity of support for less than 15 kHz subcarrier spacing (e.g., 3.75 kHz) should be studied</w:t>
      </w:r>
    </w:p>
    <w:p w:rsidR="00215822" w:rsidRPr="00215822" w:rsidRDefault="00215822" w:rsidP="00215822">
      <w:pPr>
        <w:numPr>
          <w:ilvl w:val="0"/>
          <w:numId w:val="13"/>
        </w:numPr>
        <w:overflowPunct/>
        <w:autoSpaceDE/>
        <w:autoSpaceDN/>
        <w:adjustRightInd/>
        <w:spacing w:after="0"/>
        <w:ind w:left="704"/>
        <w:textAlignment w:val="auto"/>
        <w:rPr>
          <w:rFonts w:ascii="Times" w:eastAsia="MS Mincho" w:hAnsi="Times"/>
          <w:szCs w:val="24"/>
          <w:lang w:eastAsia="ja-JP"/>
        </w:rPr>
      </w:pPr>
      <w:r w:rsidRPr="00215822">
        <w:rPr>
          <w:rFonts w:ascii="Times" w:eastAsia="MS Mincho" w:hAnsi="Times" w:hint="eastAsia"/>
          <w:szCs w:val="24"/>
          <w:lang w:eastAsia="ja-JP"/>
        </w:rPr>
        <w:t>Note that scalability does not mean everything should be scalable (e.g., RS density, UE/</w:t>
      </w:r>
      <w:proofErr w:type="spellStart"/>
      <w:r w:rsidRPr="00215822">
        <w:rPr>
          <w:rFonts w:ascii="Times" w:eastAsia="MS Mincho" w:hAnsi="Times" w:hint="eastAsia"/>
          <w:szCs w:val="24"/>
          <w:lang w:eastAsia="ja-JP"/>
        </w:rPr>
        <w:t>gNB</w:t>
      </w:r>
      <w:proofErr w:type="spellEnd"/>
      <w:r w:rsidRPr="00215822">
        <w:rPr>
          <w:rFonts w:ascii="Times" w:eastAsia="MS Mincho" w:hAnsi="Times" w:hint="eastAsia"/>
          <w:szCs w:val="24"/>
          <w:lang w:eastAsia="ja-JP"/>
        </w:rPr>
        <w:t xml:space="preserve"> processing time, </w:t>
      </w:r>
      <w:r w:rsidRPr="00215822">
        <w:rPr>
          <w:rFonts w:ascii="Times" w:eastAsia="MS Mincho" w:hAnsi="Times"/>
          <w:szCs w:val="24"/>
          <w:lang w:eastAsia="ja-JP"/>
        </w:rPr>
        <w:t>signalling</w:t>
      </w:r>
      <w:r w:rsidRPr="00215822">
        <w:rPr>
          <w:rFonts w:ascii="Times" w:eastAsia="MS Mincho" w:hAnsi="Times" w:hint="eastAsia"/>
          <w:szCs w:val="24"/>
          <w:lang w:eastAsia="ja-JP"/>
        </w:rPr>
        <w:t xml:space="preserve"> overhead)</w:t>
      </w:r>
    </w:p>
    <w:p w:rsidR="006E169B" w:rsidRDefault="006E169B" w:rsidP="006E169B">
      <w:pPr>
        <w:spacing w:after="0"/>
        <w:jc w:val="both"/>
        <w:rPr>
          <w:bCs/>
        </w:rPr>
      </w:pPr>
    </w:p>
    <w:p w:rsidR="00DA2F9E" w:rsidRDefault="00C85277" w:rsidP="00725974">
      <w:pPr>
        <w:spacing w:after="120"/>
        <w:jc w:val="both"/>
        <w:rPr>
          <w:bCs/>
        </w:rPr>
      </w:pPr>
      <w:r>
        <w:rPr>
          <w:bCs/>
        </w:rPr>
        <w:t xml:space="preserve">In </w:t>
      </w:r>
      <w:r w:rsidRPr="00BD1AC1">
        <w:rPr>
          <w:bCs/>
        </w:rPr>
        <w:t xml:space="preserve">this contribution we </w:t>
      </w:r>
      <w:r w:rsidR="00604B31" w:rsidRPr="00BD1AC1">
        <w:rPr>
          <w:bCs/>
        </w:rPr>
        <w:t>provide</w:t>
      </w:r>
      <w:r w:rsidRPr="00BD1AC1">
        <w:rPr>
          <w:bCs/>
        </w:rPr>
        <w:t xml:space="preserve"> </w:t>
      </w:r>
      <w:r w:rsidR="00215822">
        <w:rPr>
          <w:bCs/>
        </w:rPr>
        <w:t>the Nokia view on sub-carrier spacing that should be supported part of the first NR specifications.</w:t>
      </w:r>
    </w:p>
    <w:p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215822">
        <w:t>Discussion</w:t>
      </w:r>
      <w:r w:rsidR="00391294">
        <w:t xml:space="preserve"> on sub-carrier spacing options</w:t>
      </w:r>
      <w:r w:rsidR="00B774DA">
        <w:t xml:space="preserve"> for Phase I</w:t>
      </w:r>
    </w:p>
    <w:p w:rsidR="00391294" w:rsidRDefault="00215822" w:rsidP="00215822">
      <w:r>
        <w:t xml:space="preserve">The </w:t>
      </w:r>
      <w:r w:rsidR="00391294">
        <w:t xml:space="preserve">coexistence and compatibility with LTE as well as </w:t>
      </w:r>
      <w:r w:rsidR="00145EA5">
        <w:t>the shown suitability of 15 kHz sub-carrier spacing to macro-cellular deployments makes 15 kHz</w:t>
      </w:r>
      <w:r w:rsidR="002F7241">
        <w:t xml:space="preserve"> support as the </w:t>
      </w:r>
      <w:r w:rsidR="00B774DA">
        <w:t>natural selection</w:t>
      </w:r>
      <w:r w:rsidR="002F7241">
        <w:t xml:space="preserve"> from the f</w:t>
      </w:r>
      <w:r w:rsidR="002F7241" w:rsidRPr="002F7241">
        <w:rPr>
          <w:vertAlign w:val="subscript"/>
        </w:rPr>
        <w:t>0</w:t>
      </w:r>
      <w:r w:rsidR="002F7241">
        <w:t>*2</w:t>
      </w:r>
      <w:r w:rsidR="002F7241" w:rsidRPr="002F7241">
        <w:rPr>
          <w:vertAlign w:val="superscript"/>
        </w:rPr>
        <w:t>m</w:t>
      </w:r>
      <w:r w:rsidR="002F7241">
        <w:t>, where f</w:t>
      </w:r>
      <w:r w:rsidR="002F7241" w:rsidRPr="002F7241">
        <w:rPr>
          <w:vertAlign w:val="subscript"/>
        </w:rPr>
        <w:t>0</w:t>
      </w:r>
      <w:r w:rsidR="002F7241">
        <w:t xml:space="preserve"> = 15 kHz.</w:t>
      </w:r>
      <w:r w:rsidR="00B774DA">
        <w:t xml:space="preserve"> The downside of 15 kHz sub-carrier spacing is its limited bandwidth support without large-scale carrier aggregation, and its suitability for deployment in higher bands.</w:t>
      </w:r>
    </w:p>
    <w:p w:rsidR="00B774DA" w:rsidRDefault="00B774DA" w:rsidP="00215822">
      <w:r>
        <w:t>The NR design should be forward compatible so that regardless of what subset of the numerologies in the table 1 is adopted in the first NR release, it should be possible to introduce additional numerologies from the same set in a straight forward manner.</w:t>
      </w:r>
    </w:p>
    <w:p w:rsidR="00391294" w:rsidRDefault="00391294" w:rsidP="00391294">
      <w:pPr>
        <w:pStyle w:val="Caption"/>
        <w:jc w:val="center"/>
      </w:pPr>
      <w:bookmarkStart w:id="1" w:name="_Ref452368703"/>
      <w:r>
        <w:t xml:space="preserve">Table </w:t>
      </w:r>
      <w:r w:rsidR="006C2BA3">
        <w:fldChar w:fldCharType="begin"/>
      </w:r>
      <w:r>
        <w:instrText xml:space="preserve"> SEQ Table \* ARABIC </w:instrText>
      </w:r>
      <w:r w:rsidR="006C2BA3">
        <w:fldChar w:fldCharType="separate"/>
      </w:r>
      <w:r>
        <w:rPr>
          <w:noProof/>
        </w:rPr>
        <w:t>1</w:t>
      </w:r>
      <w:r w:rsidR="006C2BA3">
        <w:rPr>
          <w:noProof/>
        </w:rPr>
        <w:fldChar w:fldCharType="end"/>
      </w:r>
      <w:bookmarkEnd w:id="1"/>
      <w:r w:rsidR="00B774DA">
        <w:rPr>
          <w:noProof/>
        </w:rPr>
        <w:t>:</w:t>
      </w:r>
      <w:r>
        <w:t xml:space="preserve"> </w:t>
      </w:r>
      <w:r w:rsidR="00AA5590">
        <w:t>Range of potential numerologies with normal CP scaled from LTE numerology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783"/>
        <w:gridCol w:w="784"/>
        <w:gridCol w:w="783"/>
        <w:gridCol w:w="784"/>
        <w:gridCol w:w="784"/>
        <w:gridCol w:w="783"/>
        <w:gridCol w:w="784"/>
        <w:gridCol w:w="784"/>
        <w:gridCol w:w="819"/>
      </w:tblGrid>
      <w:tr w:rsidR="00B774DA" w:rsidTr="00D52028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AA5590" w:rsidRPr="002F7241" w:rsidRDefault="00AA5590" w:rsidP="00DC113E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783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3.75</w:t>
            </w:r>
          </w:p>
        </w:tc>
        <w:tc>
          <w:tcPr>
            <w:tcW w:w="784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7.5</w:t>
            </w:r>
          </w:p>
        </w:tc>
        <w:tc>
          <w:tcPr>
            <w:tcW w:w="783" w:type="dxa"/>
            <w:shd w:val="clear" w:color="auto" w:fill="E7E6E6" w:themeFill="background2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784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30</w:t>
            </w:r>
            <w:r w:rsidR="004719D5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84" w:type="dxa"/>
            <w:shd w:val="clear" w:color="auto" w:fill="E7E6E6" w:themeFill="background2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60</w:t>
            </w:r>
            <w:r w:rsidR="004719D5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83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120</w:t>
            </w:r>
            <w:r w:rsidR="004719D5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84" w:type="dxa"/>
            <w:shd w:val="clear" w:color="auto" w:fill="E7E6E6" w:themeFill="background2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240</w:t>
            </w:r>
            <w:r w:rsidR="004719D5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84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480</w:t>
            </w:r>
            <w:r w:rsidR="004719D5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819" w:type="dxa"/>
          </w:tcPr>
          <w:p w:rsidR="00AA5590" w:rsidRPr="00B774DA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BFBFBF" w:themeColor="background1" w:themeShade="BF"/>
                <w:sz w:val="20"/>
                <w:lang w:val="en-GB"/>
              </w:rPr>
            </w:pPr>
            <w:r w:rsidRPr="00B774DA">
              <w:rPr>
                <w:rFonts w:ascii="Times New Roman" w:hAnsi="Times New Roman"/>
                <w:b/>
                <w:color w:val="BFBFBF" w:themeColor="background1" w:themeShade="BF"/>
                <w:sz w:val="20"/>
                <w:lang w:val="en-GB"/>
              </w:rPr>
              <w:t>960</w:t>
            </w:r>
            <w:r w:rsidR="004719D5">
              <w:rPr>
                <w:rFonts w:ascii="Times New Roman" w:hAnsi="Times New Roman"/>
                <w:b/>
                <w:color w:val="BFBFBF" w:themeColor="background1" w:themeShade="BF"/>
                <w:sz w:val="20"/>
                <w:lang w:val="en-GB"/>
              </w:rPr>
              <w:t>*</w:t>
            </w:r>
          </w:p>
        </w:tc>
      </w:tr>
      <w:tr w:rsidR="00B774DA" w:rsidTr="00D52028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AA5590" w:rsidRPr="002F7241" w:rsidRDefault="00AA5590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Symbol duration [us]</w:t>
            </w:r>
          </w:p>
        </w:tc>
        <w:tc>
          <w:tcPr>
            <w:tcW w:w="783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267</w:t>
            </w:r>
          </w:p>
        </w:tc>
        <w:tc>
          <w:tcPr>
            <w:tcW w:w="784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133</w:t>
            </w:r>
          </w:p>
        </w:tc>
        <w:tc>
          <w:tcPr>
            <w:tcW w:w="783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66.7</w:t>
            </w:r>
          </w:p>
        </w:tc>
        <w:tc>
          <w:tcPr>
            <w:tcW w:w="784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33.3</w:t>
            </w:r>
          </w:p>
        </w:tc>
        <w:tc>
          <w:tcPr>
            <w:tcW w:w="784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16.7</w:t>
            </w:r>
          </w:p>
        </w:tc>
        <w:tc>
          <w:tcPr>
            <w:tcW w:w="783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8.33</w:t>
            </w:r>
          </w:p>
        </w:tc>
        <w:tc>
          <w:tcPr>
            <w:tcW w:w="784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4.17</w:t>
            </w:r>
          </w:p>
        </w:tc>
        <w:tc>
          <w:tcPr>
            <w:tcW w:w="784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2.08</w:t>
            </w:r>
          </w:p>
        </w:tc>
        <w:tc>
          <w:tcPr>
            <w:tcW w:w="819" w:type="dxa"/>
          </w:tcPr>
          <w:p w:rsidR="00AA5590" w:rsidRPr="00B774DA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1.04</w:t>
            </w:r>
          </w:p>
        </w:tc>
      </w:tr>
      <w:tr w:rsidR="00B774DA" w:rsidTr="00D52028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AA5590" w:rsidRPr="002F7241" w:rsidRDefault="00AA5590" w:rsidP="002F724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Nominal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CP</w:t>
            </w:r>
            <w:r w:rsidRPr="002F7241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1"/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[us]</w:t>
            </w:r>
          </w:p>
        </w:tc>
        <w:tc>
          <w:tcPr>
            <w:tcW w:w="783" w:type="dxa"/>
          </w:tcPr>
          <w:p w:rsidR="00AA5590" w:rsidRPr="002F7241" w:rsidRDefault="00DA02E2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19</w:t>
            </w:r>
          </w:p>
        </w:tc>
        <w:tc>
          <w:tcPr>
            <w:tcW w:w="784" w:type="dxa"/>
          </w:tcPr>
          <w:p w:rsidR="00AA5590" w:rsidRPr="002F7241" w:rsidRDefault="00DA02E2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9.4</w:t>
            </w:r>
          </w:p>
        </w:tc>
        <w:tc>
          <w:tcPr>
            <w:tcW w:w="783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4.</w:t>
            </w:r>
            <w:r w:rsidR="00DA02E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4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2.</w:t>
            </w:r>
            <w:r w:rsidR="00DA02E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3</w:t>
            </w:r>
          </w:p>
        </w:tc>
        <w:tc>
          <w:tcPr>
            <w:tcW w:w="784" w:type="dxa"/>
            <w:shd w:val="clear" w:color="auto" w:fill="E7E6E6" w:themeFill="background2"/>
          </w:tcPr>
          <w:p w:rsidR="00AA5590" w:rsidRPr="002F7241" w:rsidRDefault="00DA02E2" w:rsidP="00DA02E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1.2</w:t>
            </w:r>
          </w:p>
        </w:tc>
        <w:tc>
          <w:tcPr>
            <w:tcW w:w="783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0.</w:t>
            </w:r>
            <w:r w:rsidR="00DA02E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59</w:t>
            </w:r>
          </w:p>
        </w:tc>
        <w:tc>
          <w:tcPr>
            <w:tcW w:w="784" w:type="dxa"/>
            <w:shd w:val="clear" w:color="auto" w:fill="E7E6E6" w:themeFill="background2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0.</w:t>
            </w:r>
            <w:r w:rsidR="00DA02E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29</w:t>
            </w:r>
          </w:p>
        </w:tc>
        <w:tc>
          <w:tcPr>
            <w:tcW w:w="784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0.15</w:t>
            </w:r>
          </w:p>
        </w:tc>
        <w:tc>
          <w:tcPr>
            <w:tcW w:w="819" w:type="dxa"/>
          </w:tcPr>
          <w:p w:rsidR="00AA5590" w:rsidRPr="00B774DA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-</w:t>
            </w:r>
          </w:p>
        </w:tc>
      </w:tr>
      <w:tr w:rsidR="00B774DA" w:rsidTr="00D52028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AA5590" w:rsidRPr="002F7241" w:rsidRDefault="00AA5590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Nominal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max 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BW [MHz]</w:t>
            </w:r>
          </w:p>
        </w:tc>
        <w:tc>
          <w:tcPr>
            <w:tcW w:w="783" w:type="dxa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5</w:t>
            </w:r>
          </w:p>
        </w:tc>
        <w:tc>
          <w:tcPr>
            <w:tcW w:w="784" w:type="dxa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10/12</w:t>
            </w:r>
          </w:p>
        </w:tc>
        <w:tc>
          <w:tcPr>
            <w:tcW w:w="783" w:type="dxa"/>
            <w:shd w:val="clear" w:color="auto" w:fill="E7E6E6" w:themeFill="background2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20/25</w:t>
            </w:r>
          </w:p>
        </w:tc>
        <w:tc>
          <w:tcPr>
            <w:tcW w:w="784" w:type="dxa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40/50</w:t>
            </w:r>
          </w:p>
        </w:tc>
        <w:tc>
          <w:tcPr>
            <w:tcW w:w="784" w:type="dxa"/>
            <w:shd w:val="clear" w:color="auto" w:fill="E7E6E6" w:themeFill="background2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80/100</w:t>
            </w:r>
          </w:p>
        </w:tc>
        <w:tc>
          <w:tcPr>
            <w:tcW w:w="783" w:type="dxa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160/200</w:t>
            </w:r>
          </w:p>
        </w:tc>
        <w:tc>
          <w:tcPr>
            <w:tcW w:w="784" w:type="dxa"/>
            <w:shd w:val="clear" w:color="auto" w:fill="E7E6E6" w:themeFill="background2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320/400</w:t>
            </w:r>
          </w:p>
        </w:tc>
        <w:tc>
          <w:tcPr>
            <w:tcW w:w="784" w:type="dxa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640/800</w:t>
            </w:r>
          </w:p>
        </w:tc>
        <w:tc>
          <w:tcPr>
            <w:tcW w:w="819" w:type="dxa"/>
            <w:tcMar>
              <w:left w:w="0" w:type="dxa"/>
              <w:right w:w="0" w:type="dxa"/>
            </w:tcMar>
          </w:tcPr>
          <w:p w:rsidR="00AA5590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1280/1600</w:t>
            </w:r>
          </w:p>
        </w:tc>
      </w:tr>
      <w:tr w:rsidR="002F7241" w:rsidTr="00D52028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2F7241" w:rsidRPr="002F7241" w:rsidRDefault="002F7241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Max FFT size</w:t>
            </w:r>
          </w:p>
        </w:tc>
        <w:tc>
          <w:tcPr>
            <w:tcW w:w="783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3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3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819" w:type="dxa"/>
          </w:tcPr>
          <w:p w:rsidR="002F7241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2048</w:t>
            </w:r>
          </w:p>
        </w:tc>
      </w:tr>
      <w:tr w:rsidR="002F7241" w:rsidTr="00D52028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2F7241" w:rsidRPr="002F7241" w:rsidRDefault="00D52028" w:rsidP="00F27A4E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Min</w:t>
            </w:r>
            <w:r w:rsidR="00EA005D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scheduling </w:t>
            </w:r>
            <w:r w:rsidR="00F27A4E">
              <w:rPr>
                <w:rFonts w:ascii="Times New Roman" w:hAnsi="Times New Roman"/>
                <w:sz w:val="18"/>
                <w:szCs w:val="18"/>
                <w:lang w:val="en-GB"/>
              </w:rPr>
              <w:t>interval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(symbols)</w:t>
            </w:r>
          </w:p>
        </w:tc>
        <w:tc>
          <w:tcPr>
            <w:tcW w:w="783" w:type="dxa"/>
          </w:tcPr>
          <w:p w:rsidR="002F7241" w:rsidRPr="002F7241" w:rsidRDefault="002F7241" w:rsidP="002F724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4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3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4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4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3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  <w:tc>
          <w:tcPr>
            <w:tcW w:w="784" w:type="dxa"/>
            <w:shd w:val="clear" w:color="auto" w:fill="E7E6E6" w:themeFill="background2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28</w:t>
            </w:r>
          </w:p>
        </w:tc>
        <w:tc>
          <w:tcPr>
            <w:tcW w:w="784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56</w:t>
            </w:r>
          </w:p>
        </w:tc>
        <w:tc>
          <w:tcPr>
            <w:tcW w:w="819" w:type="dxa"/>
          </w:tcPr>
          <w:p w:rsidR="002F7241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120</w:t>
            </w:r>
          </w:p>
        </w:tc>
      </w:tr>
      <w:tr w:rsidR="008B54D5" w:rsidTr="00D5202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8B54D5" w:rsidRPr="002F7241" w:rsidRDefault="00D52028" w:rsidP="00C9213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Min</w:t>
            </w:r>
            <w:r w:rsidR="00F27A4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scheduling interval </w:t>
            </w:r>
            <w:r w:rsidR="008B54D5">
              <w:rPr>
                <w:rFonts w:ascii="Times New Roman" w:hAnsi="Times New Roman"/>
                <w:sz w:val="18"/>
                <w:szCs w:val="18"/>
                <w:lang w:val="en-GB"/>
              </w:rPr>
              <w:t>(slots</w:t>
            </w:r>
            <w:r w:rsidR="008B54D5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2F7241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2F7241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B54D5" w:rsidRPr="002F7241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2F7241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B54D5" w:rsidRPr="002F7241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2F7241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B54D5" w:rsidRPr="002F7241" w:rsidRDefault="008B54D5" w:rsidP="008B54D5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2F7241" w:rsidRDefault="008B54D5" w:rsidP="008B54D5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B774DA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8</w:t>
            </w:r>
          </w:p>
        </w:tc>
      </w:tr>
      <w:tr w:rsidR="00F27A4E" w:rsidTr="00D52028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F27A4E" w:rsidRPr="002F7241" w:rsidRDefault="00D52028" w:rsidP="00F27A4E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Min</w:t>
            </w:r>
            <w:r w:rsidR="00F27A4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scheduling interval (</w:t>
            </w:r>
            <w:proofErr w:type="spellStart"/>
            <w:r w:rsidR="00F27A4E">
              <w:rPr>
                <w:rFonts w:ascii="Times New Roman" w:hAnsi="Times New Roman"/>
                <w:sz w:val="18"/>
                <w:szCs w:val="18"/>
                <w:lang w:val="en-GB"/>
              </w:rPr>
              <w:t>ms</w:t>
            </w:r>
            <w:proofErr w:type="spellEnd"/>
            <w:r w:rsidR="00F27A4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)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2F7241" w:rsidRDefault="00F27A4E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2F7241" w:rsidRDefault="00F27A4E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F27A4E" w:rsidRPr="002F7241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2F7241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F27A4E" w:rsidRPr="002F7241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2F7241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F27A4E" w:rsidRPr="002F7241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2F7241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B774DA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0.125</w:t>
            </w:r>
          </w:p>
        </w:tc>
      </w:tr>
    </w:tbl>
    <w:p w:rsidR="00EA005D" w:rsidRDefault="00D52028" w:rsidP="00391294">
      <w:r>
        <w:t>Minimum scheduling interval assumes</w:t>
      </w:r>
      <w:r w:rsidR="00EA005D">
        <w:t xml:space="preserve"> slot-based scheduling </w:t>
      </w:r>
      <w:r>
        <w:t xml:space="preserve">(mini-slot based scheduling not considered here), </w:t>
      </w:r>
      <w:r>
        <w:br/>
        <w:t xml:space="preserve">and </w:t>
      </w:r>
      <w:r w:rsidR="00EA005D">
        <w:t>7-symbol slot</w:t>
      </w:r>
      <w:r w:rsidR="008B54D5">
        <w:t xml:space="preserve"> for SCS up to 60 kHz, 14-symbol slot for SCS above 60 kHz </w:t>
      </w:r>
      <w:r w:rsidR="004719D5">
        <w:br/>
      </w:r>
      <w:r w:rsidR="004719D5">
        <w:rPr>
          <w:lang w:val="en-US" w:eastAsia="ja-JP"/>
        </w:rPr>
        <w:t xml:space="preserve">*slot and ‘TTI’ durations of 0.25 </w:t>
      </w:r>
      <w:proofErr w:type="spellStart"/>
      <w:r w:rsidR="004719D5">
        <w:rPr>
          <w:lang w:val="en-US" w:eastAsia="ja-JP"/>
        </w:rPr>
        <w:t>ms</w:t>
      </w:r>
      <w:proofErr w:type="spellEnd"/>
      <w:r w:rsidR="004719D5">
        <w:rPr>
          <w:lang w:val="en-US" w:eastAsia="ja-JP"/>
        </w:rPr>
        <w:t xml:space="preserve"> and below are nominal values, slight variance to the nominal exists due to accommodation of the longer CP</w:t>
      </w:r>
      <w:r w:rsidR="002B4D19">
        <w:br/>
      </w:r>
    </w:p>
    <w:p w:rsidR="00391294" w:rsidRDefault="00D72E1B" w:rsidP="00215822">
      <w:r>
        <w:lastRenderedPageBreak/>
        <w:t>The 60 kHz sub-carrier spacing offers a good combination of wider bandwidth, robustness against phase noise as well as still fairly decent CP suitable for micro-cellular deployments.</w:t>
      </w:r>
    </w:p>
    <w:p w:rsidR="00D72E1B" w:rsidRDefault="00D72E1B" w:rsidP="00C656CF">
      <w:r>
        <w:t xml:space="preserve">In addition to 15 and 60 kHz, another numerology </w:t>
      </w:r>
      <w:r w:rsidR="00C656CF">
        <w:t xml:space="preserve">should be considered </w:t>
      </w:r>
      <w:r>
        <w:t>that allow</w:t>
      </w:r>
      <w:r w:rsidR="00C656CF">
        <w:t>s</w:t>
      </w:r>
      <w:r>
        <w:t xml:space="preserve"> for </w:t>
      </w:r>
      <w:r w:rsidR="00C656CF">
        <w:t>support of</w:t>
      </w:r>
      <w:r>
        <w:t xml:space="preserve"> wide-band</w:t>
      </w:r>
      <w:r w:rsidR="00C656CF">
        <w:t>width</w:t>
      </w:r>
      <w:r>
        <w:t xml:space="preserve"> without carrier aggregation for bands</w:t>
      </w:r>
      <w:r w:rsidR="00C656CF">
        <w:t xml:space="preserve"> &gt;6 GHz</w:t>
      </w:r>
      <w:r>
        <w:t xml:space="preserve"> and smaller cells. We see 240 kHz as a good sub-carrier spacing </w:t>
      </w:r>
      <w:r w:rsidR="00C656CF">
        <w:t xml:space="preserve">candidate </w:t>
      </w:r>
      <w:r>
        <w:t>for th</w:t>
      </w:r>
      <w:r w:rsidR="00C656CF">
        <w:t>is</w:t>
      </w:r>
      <w:r>
        <w:t xml:space="preserve"> purpose.</w:t>
      </w:r>
    </w:p>
    <w:p w:rsidR="00D72E1B" w:rsidRDefault="00D72E1B" w:rsidP="00215822">
      <w:r>
        <w:t xml:space="preserve">Sub-carrier </w:t>
      </w:r>
      <w:proofErr w:type="spellStart"/>
      <w:r>
        <w:t>spacings</w:t>
      </w:r>
      <w:proofErr w:type="spellEnd"/>
      <w:r>
        <w:t xml:space="preserve"> below 15 kHz could be used to serve a special purpose, such as </w:t>
      </w:r>
      <w:proofErr w:type="spellStart"/>
      <w:r>
        <w:t>mMTC</w:t>
      </w:r>
      <w:proofErr w:type="spellEnd"/>
      <w:r>
        <w:t xml:space="preserve"> traffic, and could be considered in Phase II</w:t>
      </w:r>
    </w:p>
    <w:p w:rsidR="00D72E1B" w:rsidRPr="00215822" w:rsidRDefault="00D72E1B" w:rsidP="00215822">
      <w:r>
        <w:t xml:space="preserve">Sub-carrier </w:t>
      </w:r>
      <w:proofErr w:type="spellStart"/>
      <w:r>
        <w:t>spacings</w:t>
      </w:r>
      <w:proofErr w:type="spellEnd"/>
      <w:r>
        <w:t xml:space="preserve"> above 240 kHz, especially 960 kHz would be beneficial for ultra-wide band single carrier waveforms targeted for &gt; </w:t>
      </w:r>
      <w:r w:rsidR="009213C6">
        <w:t>4</w:t>
      </w:r>
      <w:r>
        <w:t xml:space="preserve">0 </w:t>
      </w:r>
      <w:r w:rsidR="00770140">
        <w:t>GHz systems, and should be considered further in Phase II.</w:t>
      </w:r>
      <w:r>
        <w:t xml:space="preserve"> </w:t>
      </w:r>
    </w:p>
    <w:p w:rsidR="00C01DD5" w:rsidRDefault="00C01DD5" w:rsidP="00C01DD5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B774DA">
        <w:rPr>
          <w:color w:val="000000"/>
        </w:rPr>
        <w:t>Proposed s</w:t>
      </w:r>
      <w:r w:rsidR="004F53DA">
        <w:t>ub-carrier spacing set</w:t>
      </w:r>
      <w:r w:rsidR="00391294">
        <w:t xml:space="preserve"> for </w:t>
      </w:r>
      <w:r w:rsidR="00B774DA">
        <w:t>Phase I</w:t>
      </w:r>
    </w:p>
    <w:p w:rsidR="00237A52" w:rsidRDefault="004F53DA" w:rsidP="00EE3FA9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Hence we propose the following set of numerologies to be initially supported for NR targeting to bands below 40 GHz.</w:t>
      </w:r>
    </w:p>
    <w:p w:rsidR="00C01DD5" w:rsidRDefault="004F53DA" w:rsidP="00EE3FA9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</w:t>
      </w:r>
    </w:p>
    <w:p w:rsidR="00B774DA" w:rsidRDefault="00B774DA" w:rsidP="00B774DA">
      <w:pPr>
        <w:pStyle w:val="Caption"/>
        <w:jc w:val="center"/>
      </w:pPr>
      <w:r>
        <w:t xml:space="preserve">Table </w:t>
      </w:r>
      <w:r w:rsidR="006C2BA3">
        <w:fldChar w:fldCharType="begin"/>
      </w:r>
      <w:r>
        <w:instrText xml:space="preserve"> SEQ Table \* ARABIC </w:instrText>
      </w:r>
      <w:r w:rsidR="006C2BA3">
        <w:fldChar w:fldCharType="separate"/>
      </w:r>
      <w:r>
        <w:rPr>
          <w:noProof/>
        </w:rPr>
        <w:t>2</w:t>
      </w:r>
      <w:r w:rsidR="006C2BA3">
        <w:rPr>
          <w:noProof/>
        </w:rPr>
        <w:fldChar w:fldCharType="end"/>
      </w:r>
      <w:r>
        <w:rPr>
          <w:noProof/>
        </w:rPr>
        <w:t>:</w:t>
      </w:r>
      <w:r>
        <w:t xml:space="preserve"> Proposed set of numerologies to proceed with in the NR Study Item (Normal CP only shown)</w:t>
      </w:r>
    </w:p>
    <w:tbl>
      <w:tblPr>
        <w:tblW w:w="7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1170"/>
        <w:gridCol w:w="1171"/>
        <w:gridCol w:w="1171"/>
      </w:tblGrid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617246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60</w:t>
            </w:r>
            <w:r w:rsidR="004719D5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240</w:t>
            </w:r>
            <w:r w:rsidR="004719D5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</w:tr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617246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Symbol duration [us]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66.7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16.7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4.17</w:t>
            </w:r>
          </w:p>
        </w:tc>
      </w:tr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B774DA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Nominal CP [us]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4.7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1.2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0.29</w:t>
            </w:r>
          </w:p>
        </w:tc>
      </w:tr>
      <w:tr w:rsidR="00B774DA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617246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Nominal max BW [MHz]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20/25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80/100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320/400</w:t>
            </w:r>
          </w:p>
        </w:tc>
      </w:tr>
      <w:tr w:rsidR="00B774DA" w:rsidTr="002B4D19">
        <w:trPr>
          <w:trHeight w:val="60"/>
          <w:jc w:val="center"/>
        </w:trPr>
        <w:tc>
          <w:tcPr>
            <w:tcW w:w="3865" w:type="dxa"/>
            <w:shd w:val="clear" w:color="auto" w:fill="auto"/>
          </w:tcPr>
          <w:p w:rsidR="00B774DA" w:rsidRPr="002F7241" w:rsidRDefault="00B774DA" w:rsidP="00617246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Max FFT size</w:t>
            </w:r>
          </w:p>
        </w:tc>
        <w:tc>
          <w:tcPr>
            <w:tcW w:w="1170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1171" w:type="dxa"/>
            <w:shd w:val="clear" w:color="auto" w:fill="E7E6E6" w:themeFill="background2"/>
          </w:tcPr>
          <w:p w:rsidR="00B774DA" w:rsidRPr="002F7241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</w:tr>
      <w:tr w:rsidR="00D52028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D52028" w:rsidRPr="002F7241" w:rsidRDefault="00D52028" w:rsidP="00D5202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Min 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scheduling 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interval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(symbols)</w:t>
            </w:r>
          </w:p>
        </w:tc>
        <w:tc>
          <w:tcPr>
            <w:tcW w:w="1170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1171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1171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28</w:t>
            </w:r>
          </w:p>
        </w:tc>
      </w:tr>
      <w:tr w:rsidR="00D52028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D52028" w:rsidRPr="002F7241" w:rsidRDefault="00D52028" w:rsidP="00D5202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Min scheduling interval (slots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1171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1171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</w:tr>
      <w:tr w:rsidR="00D52028" w:rsidTr="002B4D19">
        <w:trPr>
          <w:jc w:val="center"/>
        </w:trPr>
        <w:tc>
          <w:tcPr>
            <w:tcW w:w="3865" w:type="dxa"/>
            <w:shd w:val="clear" w:color="auto" w:fill="auto"/>
          </w:tcPr>
          <w:p w:rsidR="00D52028" w:rsidRPr="002F7241" w:rsidRDefault="00D52028" w:rsidP="00D5202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Min scheduling interval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ms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) </w:t>
            </w:r>
          </w:p>
        </w:tc>
        <w:tc>
          <w:tcPr>
            <w:tcW w:w="1170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1171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1171" w:type="dxa"/>
            <w:shd w:val="clear" w:color="auto" w:fill="E7E6E6" w:themeFill="background2"/>
          </w:tcPr>
          <w:p w:rsidR="00D52028" w:rsidRPr="002F7241" w:rsidRDefault="00D52028" w:rsidP="00D5202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</w:t>
            </w:r>
            <w:r w:rsidR="00237A52">
              <w:rPr>
                <w:rFonts w:ascii="Times New Roman" w:hAnsi="Times New Roman"/>
                <w:sz w:val="18"/>
                <w:szCs w:val="18"/>
                <w:lang w:val="en-GB"/>
              </w:rPr>
              <w:t>5</w:t>
            </w:r>
          </w:p>
        </w:tc>
      </w:tr>
    </w:tbl>
    <w:p w:rsidR="004F53DA" w:rsidRDefault="00D52028" w:rsidP="00D52028">
      <w:pPr>
        <w:ind w:left="1134"/>
      </w:pPr>
      <w:r>
        <w:t>Minimum scheduling interval assumes slot-based scheduling (mini-slot based scheduling not</w:t>
      </w:r>
      <w:r>
        <w:br/>
        <w:t>considered here), and 7-symbol slot for SCS up to 60 kHz, 14-symbol slot for SCS above 60 kHz</w:t>
      </w:r>
      <w:r w:rsidR="004719D5">
        <w:br/>
      </w:r>
      <w:r w:rsidR="004719D5">
        <w:rPr>
          <w:lang w:val="en-US" w:eastAsia="ja-JP"/>
        </w:rPr>
        <w:t xml:space="preserve">*slot and ‘TTI’ durations of 0.25 </w:t>
      </w:r>
      <w:proofErr w:type="spellStart"/>
      <w:r w:rsidR="004719D5">
        <w:rPr>
          <w:lang w:val="en-US" w:eastAsia="ja-JP"/>
        </w:rPr>
        <w:t>ms</w:t>
      </w:r>
      <w:proofErr w:type="spellEnd"/>
      <w:r w:rsidR="004719D5">
        <w:rPr>
          <w:lang w:val="en-US" w:eastAsia="ja-JP"/>
        </w:rPr>
        <w:t xml:space="preserve"> and below are nominal values, slight variance to the nominal exists due to accommodation of the longer CP</w:t>
      </w:r>
    </w:p>
    <w:p w:rsidR="00575738" w:rsidRDefault="004F53DA" w:rsidP="004F53DA">
      <w:pPr>
        <w:tabs>
          <w:tab w:val="left" w:pos="8214"/>
        </w:tabs>
        <w:overflowPunct/>
        <w:autoSpaceDE/>
        <w:autoSpaceDN/>
        <w:adjustRightInd/>
        <w:spacing w:after="120"/>
        <w:jc w:val="both"/>
        <w:textAlignment w:val="auto"/>
        <w:rPr>
          <w:bCs/>
          <w:lang w:val="en-US"/>
        </w:rPr>
      </w:pPr>
      <w:r>
        <w:rPr>
          <w:bCs/>
          <w:lang w:val="en-US"/>
        </w:rPr>
        <w:tab/>
      </w: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142DE2" w:rsidRPr="00807F90" w:rsidRDefault="006427E0" w:rsidP="00F10CB9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#86, 3</w:t>
      </w:r>
      <w:r w:rsidR="00215822">
        <w:rPr>
          <w:sz w:val="18"/>
        </w:rPr>
        <w:t>GPP</w:t>
      </w:r>
    </w:p>
    <w:sectPr w:rsidR="00142DE2" w:rsidRPr="00807F9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A55" w:rsidRDefault="00740A55">
      <w:r>
        <w:separator/>
      </w:r>
    </w:p>
  </w:endnote>
  <w:endnote w:type="continuationSeparator" w:id="0">
    <w:p w:rsidR="00740A55" w:rsidRDefault="0074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A55" w:rsidRDefault="00740A55">
      <w:r>
        <w:separator/>
      </w:r>
    </w:p>
  </w:footnote>
  <w:footnote w:type="continuationSeparator" w:id="0">
    <w:p w:rsidR="00740A55" w:rsidRDefault="00740A55">
      <w:r>
        <w:continuationSeparator/>
      </w:r>
    </w:p>
  </w:footnote>
  <w:footnote w:id="1">
    <w:p w:rsidR="00AA5590" w:rsidRPr="00224966" w:rsidRDefault="00AA5590" w:rsidP="00AA5590">
      <w:pPr>
        <w:pStyle w:val="FootnoteText"/>
      </w:pPr>
      <w:r>
        <w:rPr>
          <w:rStyle w:val="FootnoteReference"/>
        </w:rPr>
        <w:footnoteRef/>
      </w:r>
      <w:r>
        <w:t xml:space="preserve"> Approximat</w:t>
      </w:r>
      <w:r w:rsidR="00D52028">
        <w:t>e values scaled from LTE N</w:t>
      </w:r>
      <w:r>
        <w:t xml:space="preserve">CP – extended </w:t>
      </w:r>
      <w:r w:rsidR="002F7241">
        <w:t xml:space="preserve">CP </w:t>
      </w:r>
      <w:r>
        <w:t xml:space="preserve">may be considered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C0C8A"/>
    <w:multiLevelType w:val="hybridMultilevel"/>
    <w:tmpl w:val="8820A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027C6"/>
    <w:multiLevelType w:val="hybridMultilevel"/>
    <w:tmpl w:val="400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71F36B1"/>
    <w:multiLevelType w:val="hybridMultilevel"/>
    <w:tmpl w:val="BF2A39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9E57F3"/>
    <w:multiLevelType w:val="hybridMultilevel"/>
    <w:tmpl w:val="9120D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E6951"/>
    <w:multiLevelType w:val="hybridMultilevel"/>
    <w:tmpl w:val="26AE609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E07049"/>
    <w:multiLevelType w:val="hybridMultilevel"/>
    <w:tmpl w:val="F6AA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C52F0"/>
    <w:multiLevelType w:val="hybridMultilevel"/>
    <w:tmpl w:val="FED00170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2" w15:restartNumberingAfterBreak="0">
    <w:nsid w:val="76712E8F"/>
    <w:multiLevelType w:val="hybridMultilevel"/>
    <w:tmpl w:val="70AAB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4"/>
  </w:num>
  <w:num w:numId="11">
    <w:abstractNumId w:val="9"/>
  </w:num>
  <w:num w:numId="12">
    <w:abstractNumId w:val="7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038"/>
    <w:rsid w:val="0004132D"/>
    <w:rsid w:val="00044CFA"/>
    <w:rsid w:val="000459C7"/>
    <w:rsid w:val="00046630"/>
    <w:rsid w:val="00046C80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37E7"/>
    <w:rsid w:val="00063D9E"/>
    <w:rsid w:val="00064AD3"/>
    <w:rsid w:val="00065088"/>
    <w:rsid w:val="000652D3"/>
    <w:rsid w:val="000654A0"/>
    <w:rsid w:val="000707CA"/>
    <w:rsid w:val="00072BBA"/>
    <w:rsid w:val="00075FDA"/>
    <w:rsid w:val="00076386"/>
    <w:rsid w:val="00076D82"/>
    <w:rsid w:val="00081EC2"/>
    <w:rsid w:val="0008310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4EDF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F0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5DD5"/>
    <w:rsid w:val="000E02B7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4EC"/>
    <w:rsid w:val="000F2E1F"/>
    <w:rsid w:val="000F37B0"/>
    <w:rsid w:val="000F4595"/>
    <w:rsid w:val="000F4CB2"/>
    <w:rsid w:val="000F568D"/>
    <w:rsid w:val="00101C4F"/>
    <w:rsid w:val="00102C9F"/>
    <w:rsid w:val="001053E1"/>
    <w:rsid w:val="00105ED8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4E16"/>
    <w:rsid w:val="0012673D"/>
    <w:rsid w:val="001269B8"/>
    <w:rsid w:val="00127099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5EA5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6FD"/>
    <w:rsid w:val="00164E58"/>
    <w:rsid w:val="00165033"/>
    <w:rsid w:val="001670EA"/>
    <w:rsid w:val="001674A0"/>
    <w:rsid w:val="00170A50"/>
    <w:rsid w:val="001715A4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10E5"/>
    <w:rsid w:val="001A15C6"/>
    <w:rsid w:val="001A5E19"/>
    <w:rsid w:val="001B01FA"/>
    <w:rsid w:val="001B0832"/>
    <w:rsid w:val="001B18A7"/>
    <w:rsid w:val="001B36FC"/>
    <w:rsid w:val="001B41ED"/>
    <w:rsid w:val="001B4607"/>
    <w:rsid w:val="001B518E"/>
    <w:rsid w:val="001B5AB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630"/>
    <w:rsid w:val="00206955"/>
    <w:rsid w:val="00210309"/>
    <w:rsid w:val="00212FB8"/>
    <w:rsid w:val="00213709"/>
    <w:rsid w:val="002149AF"/>
    <w:rsid w:val="00214A86"/>
    <w:rsid w:val="00215822"/>
    <w:rsid w:val="00215AAA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37A52"/>
    <w:rsid w:val="00241311"/>
    <w:rsid w:val="00242E22"/>
    <w:rsid w:val="0024336B"/>
    <w:rsid w:val="0024424F"/>
    <w:rsid w:val="00244D28"/>
    <w:rsid w:val="00245720"/>
    <w:rsid w:val="00245FD5"/>
    <w:rsid w:val="002477DF"/>
    <w:rsid w:val="002513D4"/>
    <w:rsid w:val="00251AD6"/>
    <w:rsid w:val="00252C17"/>
    <w:rsid w:val="0025307F"/>
    <w:rsid w:val="002551BD"/>
    <w:rsid w:val="002568D0"/>
    <w:rsid w:val="00256C08"/>
    <w:rsid w:val="00262661"/>
    <w:rsid w:val="002632DF"/>
    <w:rsid w:val="002640BA"/>
    <w:rsid w:val="00264CF2"/>
    <w:rsid w:val="00267587"/>
    <w:rsid w:val="00271589"/>
    <w:rsid w:val="00273177"/>
    <w:rsid w:val="00275074"/>
    <w:rsid w:val="0027633F"/>
    <w:rsid w:val="002763E9"/>
    <w:rsid w:val="00276736"/>
    <w:rsid w:val="00277CCB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40F9"/>
    <w:rsid w:val="002A53DC"/>
    <w:rsid w:val="002A607D"/>
    <w:rsid w:val="002B132E"/>
    <w:rsid w:val="002B2813"/>
    <w:rsid w:val="002B2D29"/>
    <w:rsid w:val="002B2D5B"/>
    <w:rsid w:val="002B4D19"/>
    <w:rsid w:val="002C1EEA"/>
    <w:rsid w:val="002C306D"/>
    <w:rsid w:val="002C3EA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6B21"/>
    <w:rsid w:val="002E74AF"/>
    <w:rsid w:val="002E7581"/>
    <w:rsid w:val="002F1038"/>
    <w:rsid w:val="002F22FF"/>
    <w:rsid w:val="002F2D8F"/>
    <w:rsid w:val="002F695B"/>
    <w:rsid w:val="002F7241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2"/>
    <w:rsid w:val="00304C3E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4CDE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57FBF"/>
    <w:rsid w:val="00361412"/>
    <w:rsid w:val="003615CA"/>
    <w:rsid w:val="003618EF"/>
    <w:rsid w:val="003642A6"/>
    <w:rsid w:val="00367337"/>
    <w:rsid w:val="00367FD8"/>
    <w:rsid w:val="0037085C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412E"/>
    <w:rsid w:val="00386053"/>
    <w:rsid w:val="0038771D"/>
    <w:rsid w:val="00391294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ABE"/>
    <w:rsid w:val="003B2E9B"/>
    <w:rsid w:val="003B2F8D"/>
    <w:rsid w:val="003B4FAA"/>
    <w:rsid w:val="003B547A"/>
    <w:rsid w:val="003B5F1C"/>
    <w:rsid w:val="003B75B9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AD8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14E"/>
    <w:rsid w:val="003F75ED"/>
    <w:rsid w:val="004002B7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36C8E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13B9"/>
    <w:rsid w:val="00462490"/>
    <w:rsid w:val="00463F33"/>
    <w:rsid w:val="00465299"/>
    <w:rsid w:val="00466A0F"/>
    <w:rsid w:val="0046795B"/>
    <w:rsid w:val="00471863"/>
    <w:rsid w:val="004719D5"/>
    <w:rsid w:val="00473A14"/>
    <w:rsid w:val="00474CA8"/>
    <w:rsid w:val="00474E43"/>
    <w:rsid w:val="00475229"/>
    <w:rsid w:val="00481D90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183D"/>
    <w:rsid w:val="004C3EEE"/>
    <w:rsid w:val="004C483D"/>
    <w:rsid w:val="004C5CE9"/>
    <w:rsid w:val="004C795A"/>
    <w:rsid w:val="004C7F93"/>
    <w:rsid w:val="004D26B8"/>
    <w:rsid w:val="004D38C2"/>
    <w:rsid w:val="004D471A"/>
    <w:rsid w:val="004D4C81"/>
    <w:rsid w:val="004D4FBD"/>
    <w:rsid w:val="004D4FC0"/>
    <w:rsid w:val="004D7DA8"/>
    <w:rsid w:val="004E2892"/>
    <w:rsid w:val="004E362B"/>
    <w:rsid w:val="004E3681"/>
    <w:rsid w:val="004E39CF"/>
    <w:rsid w:val="004E3D74"/>
    <w:rsid w:val="004E4650"/>
    <w:rsid w:val="004E784B"/>
    <w:rsid w:val="004F0224"/>
    <w:rsid w:val="004F0DB4"/>
    <w:rsid w:val="004F0E04"/>
    <w:rsid w:val="004F1EBC"/>
    <w:rsid w:val="004F3B71"/>
    <w:rsid w:val="004F5154"/>
    <w:rsid w:val="004F53DA"/>
    <w:rsid w:val="004F5835"/>
    <w:rsid w:val="004F661C"/>
    <w:rsid w:val="004F6D99"/>
    <w:rsid w:val="004F718B"/>
    <w:rsid w:val="00500572"/>
    <w:rsid w:val="00501304"/>
    <w:rsid w:val="00501425"/>
    <w:rsid w:val="00504311"/>
    <w:rsid w:val="0050485C"/>
    <w:rsid w:val="00504AC6"/>
    <w:rsid w:val="00511079"/>
    <w:rsid w:val="00512829"/>
    <w:rsid w:val="0051423C"/>
    <w:rsid w:val="00514C91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02C1"/>
    <w:rsid w:val="0053162F"/>
    <w:rsid w:val="00531777"/>
    <w:rsid w:val="0053281C"/>
    <w:rsid w:val="00533544"/>
    <w:rsid w:val="00533AAC"/>
    <w:rsid w:val="005340C9"/>
    <w:rsid w:val="0053529E"/>
    <w:rsid w:val="005375FE"/>
    <w:rsid w:val="00540AA4"/>
    <w:rsid w:val="005420DE"/>
    <w:rsid w:val="0054268D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3F67"/>
    <w:rsid w:val="005649BF"/>
    <w:rsid w:val="005650ED"/>
    <w:rsid w:val="00565869"/>
    <w:rsid w:val="0056599B"/>
    <w:rsid w:val="005670C6"/>
    <w:rsid w:val="00567415"/>
    <w:rsid w:val="00567610"/>
    <w:rsid w:val="00570D9F"/>
    <w:rsid w:val="00571CA8"/>
    <w:rsid w:val="00575738"/>
    <w:rsid w:val="00580793"/>
    <w:rsid w:val="00581470"/>
    <w:rsid w:val="00582087"/>
    <w:rsid w:val="005831DD"/>
    <w:rsid w:val="00584320"/>
    <w:rsid w:val="00587229"/>
    <w:rsid w:val="00587503"/>
    <w:rsid w:val="005902EB"/>
    <w:rsid w:val="00590E8D"/>
    <w:rsid w:val="00591511"/>
    <w:rsid w:val="0059331A"/>
    <w:rsid w:val="00596BBA"/>
    <w:rsid w:val="005975C4"/>
    <w:rsid w:val="00597ED8"/>
    <w:rsid w:val="005A0865"/>
    <w:rsid w:val="005A34D5"/>
    <w:rsid w:val="005A4904"/>
    <w:rsid w:val="005A515A"/>
    <w:rsid w:val="005A704D"/>
    <w:rsid w:val="005B3C6D"/>
    <w:rsid w:val="005B609E"/>
    <w:rsid w:val="005B6DF6"/>
    <w:rsid w:val="005B7B7D"/>
    <w:rsid w:val="005C119B"/>
    <w:rsid w:val="005C1948"/>
    <w:rsid w:val="005C263C"/>
    <w:rsid w:val="005C2679"/>
    <w:rsid w:val="005D07C5"/>
    <w:rsid w:val="005D4302"/>
    <w:rsid w:val="005D5A20"/>
    <w:rsid w:val="005D786C"/>
    <w:rsid w:val="005E049F"/>
    <w:rsid w:val="005E3073"/>
    <w:rsid w:val="005E316A"/>
    <w:rsid w:val="005F0108"/>
    <w:rsid w:val="005F0ECC"/>
    <w:rsid w:val="005F0F8E"/>
    <w:rsid w:val="005F1CF0"/>
    <w:rsid w:val="005F21A5"/>
    <w:rsid w:val="005F2470"/>
    <w:rsid w:val="005F28C6"/>
    <w:rsid w:val="005F3F16"/>
    <w:rsid w:val="005F52CC"/>
    <w:rsid w:val="005F6BD4"/>
    <w:rsid w:val="005F7985"/>
    <w:rsid w:val="00600CEB"/>
    <w:rsid w:val="0060124B"/>
    <w:rsid w:val="00602AA1"/>
    <w:rsid w:val="00604367"/>
    <w:rsid w:val="006044BE"/>
    <w:rsid w:val="0060475F"/>
    <w:rsid w:val="00604B31"/>
    <w:rsid w:val="00605A5F"/>
    <w:rsid w:val="00606A26"/>
    <w:rsid w:val="00607D81"/>
    <w:rsid w:val="00610747"/>
    <w:rsid w:val="0061176E"/>
    <w:rsid w:val="00614CD1"/>
    <w:rsid w:val="0061567B"/>
    <w:rsid w:val="00620781"/>
    <w:rsid w:val="0062152A"/>
    <w:rsid w:val="00623583"/>
    <w:rsid w:val="0062462F"/>
    <w:rsid w:val="00624BA1"/>
    <w:rsid w:val="0062661B"/>
    <w:rsid w:val="00630118"/>
    <w:rsid w:val="006310AE"/>
    <w:rsid w:val="00632196"/>
    <w:rsid w:val="006329ED"/>
    <w:rsid w:val="00633BF2"/>
    <w:rsid w:val="00633F67"/>
    <w:rsid w:val="006345C3"/>
    <w:rsid w:val="006362F9"/>
    <w:rsid w:val="006373CD"/>
    <w:rsid w:val="0064165D"/>
    <w:rsid w:val="00642619"/>
    <w:rsid w:val="006427E0"/>
    <w:rsid w:val="006433BD"/>
    <w:rsid w:val="00643784"/>
    <w:rsid w:val="00644A21"/>
    <w:rsid w:val="00645C9F"/>
    <w:rsid w:val="00646A6C"/>
    <w:rsid w:val="006508B9"/>
    <w:rsid w:val="00650CA1"/>
    <w:rsid w:val="00651854"/>
    <w:rsid w:val="00652295"/>
    <w:rsid w:val="006565D8"/>
    <w:rsid w:val="00656B96"/>
    <w:rsid w:val="00657AE5"/>
    <w:rsid w:val="006619B0"/>
    <w:rsid w:val="00662012"/>
    <w:rsid w:val="00662543"/>
    <w:rsid w:val="006626D0"/>
    <w:rsid w:val="00664E8C"/>
    <w:rsid w:val="00664FFD"/>
    <w:rsid w:val="00665F7C"/>
    <w:rsid w:val="00666DFC"/>
    <w:rsid w:val="00666EBB"/>
    <w:rsid w:val="0066779E"/>
    <w:rsid w:val="0067269D"/>
    <w:rsid w:val="00672988"/>
    <w:rsid w:val="00674E6A"/>
    <w:rsid w:val="006763BE"/>
    <w:rsid w:val="00676809"/>
    <w:rsid w:val="00676A64"/>
    <w:rsid w:val="00677925"/>
    <w:rsid w:val="00680699"/>
    <w:rsid w:val="00680F46"/>
    <w:rsid w:val="00682B53"/>
    <w:rsid w:val="00682F27"/>
    <w:rsid w:val="00690E2E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497"/>
    <w:rsid w:val="006B3682"/>
    <w:rsid w:val="006B48CB"/>
    <w:rsid w:val="006B4DB9"/>
    <w:rsid w:val="006C1445"/>
    <w:rsid w:val="006C2BA3"/>
    <w:rsid w:val="006C4FC1"/>
    <w:rsid w:val="006C529D"/>
    <w:rsid w:val="006C6454"/>
    <w:rsid w:val="006D0E6B"/>
    <w:rsid w:val="006D2146"/>
    <w:rsid w:val="006D788F"/>
    <w:rsid w:val="006E094A"/>
    <w:rsid w:val="006E12B1"/>
    <w:rsid w:val="006E13D1"/>
    <w:rsid w:val="006E169B"/>
    <w:rsid w:val="006E4D0C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1DF9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5974"/>
    <w:rsid w:val="00726878"/>
    <w:rsid w:val="0073124A"/>
    <w:rsid w:val="00733893"/>
    <w:rsid w:val="00734A05"/>
    <w:rsid w:val="00735C6F"/>
    <w:rsid w:val="00740A55"/>
    <w:rsid w:val="00752002"/>
    <w:rsid w:val="00753BB5"/>
    <w:rsid w:val="00756832"/>
    <w:rsid w:val="007626D0"/>
    <w:rsid w:val="007651CA"/>
    <w:rsid w:val="00767519"/>
    <w:rsid w:val="00770140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AFE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7B0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79C5"/>
    <w:rsid w:val="007F43BC"/>
    <w:rsid w:val="007F4740"/>
    <w:rsid w:val="007F65E6"/>
    <w:rsid w:val="007F73CC"/>
    <w:rsid w:val="007F7900"/>
    <w:rsid w:val="007F7F0D"/>
    <w:rsid w:val="008006C6"/>
    <w:rsid w:val="0080153E"/>
    <w:rsid w:val="008067ED"/>
    <w:rsid w:val="0080742D"/>
    <w:rsid w:val="00807F90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47934"/>
    <w:rsid w:val="008506E1"/>
    <w:rsid w:val="008515EE"/>
    <w:rsid w:val="00851BDC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3B51"/>
    <w:rsid w:val="008B4057"/>
    <w:rsid w:val="008B4145"/>
    <w:rsid w:val="008B5290"/>
    <w:rsid w:val="008B54D5"/>
    <w:rsid w:val="008C2CFD"/>
    <w:rsid w:val="008C603A"/>
    <w:rsid w:val="008C71C8"/>
    <w:rsid w:val="008D02BC"/>
    <w:rsid w:val="008D167D"/>
    <w:rsid w:val="008D4B58"/>
    <w:rsid w:val="008D4B8A"/>
    <w:rsid w:val="008D50D3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8F5207"/>
    <w:rsid w:val="008F73EB"/>
    <w:rsid w:val="009006A2"/>
    <w:rsid w:val="0090102B"/>
    <w:rsid w:val="00901448"/>
    <w:rsid w:val="00905C47"/>
    <w:rsid w:val="00906379"/>
    <w:rsid w:val="009101EA"/>
    <w:rsid w:val="009106FC"/>
    <w:rsid w:val="009118BB"/>
    <w:rsid w:val="00915B81"/>
    <w:rsid w:val="00915D6B"/>
    <w:rsid w:val="009160DF"/>
    <w:rsid w:val="009162C7"/>
    <w:rsid w:val="00916EC2"/>
    <w:rsid w:val="009213BD"/>
    <w:rsid w:val="009213C6"/>
    <w:rsid w:val="009221F5"/>
    <w:rsid w:val="00924627"/>
    <w:rsid w:val="009250A8"/>
    <w:rsid w:val="00925BE6"/>
    <w:rsid w:val="0092612E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011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61ED"/>
    <w:rsid w:val="00967354"/>
    <w:rsid w:val="00971592"/>
    <w:rsid w:val="00971DDF"/>
    <w:rsid w:val="009731D6"/>
    <w:rsid w:val="00974746"/>
    <w:rsid w:val="00975119"/>
    <w:rsid w:val="0097587B"/>
    <w:rsid w:val="00976F04"/>
    <w:rsid w:val="009777F4"/>
    <w:rsid w:val="00977AD8"/>
    <w:rsid w:val="00980A10"/>
    <w:rsid w:val="00981130"/>
    <w:rsid w:val="009818A7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08A5"/>
    <w:rsid w:val="009B1E47"/>
    <w:rsid w:val="009B2CED"/>
    <w:rsid w:val="009B7A72"/>
    <w:rsid w:val="009B7BB8"/>
    <w:rsid w:val="009C126A"/>
    <w:rsid w:val="009C1D4C"/>
    <w:rsid w:val="009C2DD2"/>
    <w:rsid w:val="009C3C7F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0CF1"/>
    <w:rsid w:val="009F5B4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C9C"/>
    <w:rsid w:val="00A15DEE"/>
    <w:rsid w:val="00A167B5"/>
    <w:rsid w:val="00A16DBE"/>
    <w:rsid w:val="00A17C4F"/>
    <w:rsid w:val="00A20A39"/>
    <w:rsid w:val="00A238BD"/>
    <w:rsid w:val="00A2459D"/>
    <w:rsid w:val="00A24E23"/>
    <w:rsid w:val="00A24EFB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522"/>
    <w:rsid w:val="00A51573"/>
    <w:rsid w:val="00A51A5E"/>
    <w:rsid w:val="00A51A87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7AE"/>
    <w:rsid w:val="00A86EA7"/>
    <w:rsid w:val="00A92776"/>
    <w:rsid w:val="00A93161"/>
    <w:rsid w:val="00A93181"/>
    <w:rsid w:val="00A938E6"/>
    <w:rsid w:val="00A93CCF"/>
    <w:rsid w:val="00A95B30"/>
    <w:rsid w:val="00A95BD5"/>
    <w:rsid w:val="00A96F78"/>
    <w:rsid w:val="00AA1087"/>
    <w:rsid w:val="00AA25A9"/>
    <w:rsid w:val="00AA26D9"/>
    <w:rsid w:val="00AA51AD"/>
    <w:rsid w:val="00AA5590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0C66"/>
    <w:rsid w:val="00AF2D54"/>
    <w:rsid w:val="00AF3458"/>
    <w:rsid w:val="00AF3F7B"/>
    <w:rsid w:val="00AF42B4"/>
    <w:rsid w:val="00AF44EC"/>
    <w:rsid w:val="00AF48D5"/>
    <w:rsid w:val="00AF4B8A"/>
    <w:rsid w:val="00AF4F1B"/>
    <w:rsid w:val="00AF5EC6"/>
    <w:rsid w:val="00AF6E8A"/>
    <w:rsid w:val="00AF7213"/>
    <w:rsid w:val="00AF7D92"/>
    <w:rsid w:val="00B005DA"/>
    <w:rsid w:val="00B011CC"/>
    <w:rsid w:val="00B03FFE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68C"/>
    <w:rsid w:val="00B40A96"/>
    <w:rsid w:val="00B4147D"/>
    <w:rsid w:val="00B422A7"/>
    <w:rsid w:val="00B42A32"/>
    <w:rsid w:val="00B42FA6"/>
    <w:rsid w:val="00B4399E"/>
    <w:rsid w:val="00B43A16"/>
    <w:rsid w:val="00B45CE1"/>
    <w:rsid w:val="00B46A75"/>
    <w:rsid w:val="00B500CD"/>
    <w:rsid w:val="00B510FE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5140"/>
    <w:rsid w:val="00B6720A"/>
    <w:rsid w:val="00B67805"/>
    <w:rsid w:val="00B7267A"/>
    <w:rsid w:val="00B726FF"/>
    <w:rsid w:val="00B72AA4"/>
    <w:rsid w:val="00B752B7"/>
    <w:rsid w:val="00B76BCD"/>
    <w:rsid w:val="00B76EE9"/>
    <w:rsid w:val="00B774DA"/>
    <w:rsid w:val="00B77880"/>
    <w:rsid w:val="00B80D90"/>
    <w:rsid w:val="00B81054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5247"/>
    <w:rsid w:val="00B97CA3"/>
    <w:rsid w:val="00BA0E82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29D6"/>
    <w:rsid w:val="00BC32E7"/>
    <w:rsid w:val="00BC5074"/>
    <w:rsid w:val="00BC58B9"/>
    <w:rsid w:val="00BD1AC1"/>
    <w:rsid w:val="00BD3E68"/>
    <w:rsid w:val="00BD598A"/>
    <w:rsid w:val="00BD75B4"/>
    <w:rsid w:val="00BD7D14"/>
    <w:rsid w:val="00BE02B4"/>
    <w:rsid w:val="00BE631E"/>
    <w:rsid w:val="00BE7288"/>
    <w:rsid w:val="00BF0CCF"/>
    <w:rsid w:val="00BF0FC5"/>
    <w:rsid w:val="00BF10BC"/>
    <w:rsid w:val="00BF21AC"/>
    <w:rsid w:val="00BF2E53"/>
    <w:rsid w:val="00BF3669"/>
    <w:rsid w:val="00BF3C0D"/>
    <w:rsid w:val="00BF6AFD"/>
    <w:rsid w:val="00C01DD5"/>
    <w:rsid w:val="00C02628"/>
    <w:rsid w:val="00C03309"/>
    <w:rsid w:val="00C0656E"/>
    <w:rsid w:val="00C072FE"/>
    <w:rsid w:val="00C12E39"/>
    <w:rsid w:val="00C14164"/>
    <w:rsid w:val="00C15D8E"/>
    <w:rsid w:val="00C17012"/>
    <w:rsid w:val="00C178FB"/>
    <w:rsid w:val="00C257B7"/>
    <w:rsid w:val="00C272E8"/>
    <w:rsid w:val="00C30695"/>
    <w:rsid w:val="00C33359"/>
    <w:rsid w:val="00C348D6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1F1"/>
    <w:rsid w:val="00C46B7E"/>
    <w:rsid w:val="00C50A4E"/>
    <w:rsid w:val="00C520B1"/>
    <w:rsid w:val="00C522D6"/>
    <w:rsid w:val="00C54020"/>
    <w:rsid w:val="00C545C5"/>
    <w:rsid w:val="00C55F85"/>
    <w:rsid w:val="00C61D4B"/>
    <w:rsid w:val="00C62B0A"/>
    <w:rsid w:val="00C63F08"/>
    <w:rsid w:val="00C6528C"/>
    <w:rsid w:val="00C656CF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4D39"/>
    <w:rsid w:val="00C85277"/>
    <w:rsid w:val="00C856DE"/>
    <w:rsid w:val="00C85D76"/>
    <w:rsid w:val="00C873AC"/>
    <w:rsid w:val="00C93462"/>
    <w:rsid w:val="00C94384"/>
    <w:rsid w:val="00C94A34"/>
    <w:rsid w:val="00C94C2B"/>
    <w:rsid w:val="00C957F4"/>
    <w:rsid w:val="00C96F79"/>
    <w:rsid w:val="00C97CF9"/>
    <w:rsid w:val="00CA17DD"/>
    <w:rsid w:val="00CA1863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D078F"/>
    <w:rsid w:val="00CD121E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3D06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3569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165"/>
    <w:rsid w:val="00D502AF"/>
    <w:rsid w:val="00D50764"/>
    <w:rsid w:val="00D50C12"/>
    <w:rsid w:val="00D51A77"/>
    <w:rsid w:val="00D52028"/>
    <w:rsid w:val="00D52498"/>
    <w:rsid w:val="00D53830"/>
    <w:rsid w:val="00D55889"/>
    <w:rsid w:val="00D57AF0"/>
    <w:rsid w:val="00D62ECD"/>
    <w:rsid w:val="00D638EC"/>
    <w:rsid w:val="00D64426"/>
    <w:rsid w:val="00D67BC5"/>
    <w:rsid w:val="00D7021B"/>
    <w:rsid w:val="00D70D33"/>
    <w:rsid w:val="00D72E1B"/>
    <w:rsid w:val="00D73077"/>
    <w:rsid w:val="00D73C57"/>
    <w:rsid w:val="00D742FF"/>
    <w:rsid w:val="00D758B3"/>
    <w:rsid w:val="00D76ADC"/>
    <w:rsid w:val="00D77413"/>
    <w:rsid w:val="00D8044A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02E2"/>
    <w:rsid w:val="00DA0C66"/>
    <w:rsid w:val="00DA180C"/>
    <w:rsid w:val="00DA2F9E"/>
    <w:rsid w:val="00DA451D"/>
    <w:rsid w:val="00DA56DB"/>
    <w:rsid w:val="00DA6452"/>
    <w:rsid w:val="00DA6FE9"/>
    <w:rsid w:val="00DA7925"/>
    <w:rsid w:val="00DA7E5F"/>
    <w:rsid w:val="00DB0AB8"/>
    <w:rsid w:val="00DB0D2A"/>
    <w:rsid w:val="00DB0F30"/>
    <w:rsid w:val="00DB1DAB"/>
    <w:rsid w:val="00DB39D4"/>
    <w:rsid w:val="00DB3A47"/>
    <w:rsid w:val="00DB459D"/>
    <w:rsid w:val="00DB4E06"/>
    <w:rsid w:val="00DB6A80"/>
    <w:rsid w:val="00DB6C06"/>
    <w:rsid w:val="00DB722B"/>
    <w:rsid w:val="00DB7B06"/>
    <w:rsid w:val="00DC3A9D"/>
    <w:rsid w:val="00DC4ACD"/>
    <w:rsid w:val="00DC6C1E"/>
    <w:rsid w:val="00DC7951"/>
    <w:rsid w:val="00DD1C4B"/>
    <w:rsid w:val="00DD1F7B"/>
    <w:rsid w:val="00DD229E"/>
    <w:rsid w:val="00DD48B0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456C"/>
    <w:rsid w:val="00E0576C"/>
    <w:rsid w:val="00E068BC"/>
    <w:rsid w:val="00E073F0"/>
    <w:rsid w:val="00E10761"/>
    <w:rsid w:val="00E11D7A"/>
    <w:rsid w:val="00E11EEB"/>
    <w:rsid w:val="00E128F2"/>
    <w:rsid w:val="00E16463"/>
    <w:rsid w:val="00E24589"/>
    <w:rsid w:val="00E26727"/>
    <w:rsid w:val="00E26970"/>
    <w:rsid w:val="00E27749"/>
    <w:rsid w:val="00E27791"/>
    <w:rsid w:val="00E319DB"/>
    <w:rsid w:val="00E31AFC"/>
    <w:rsid w:val="00E328D2"/>
    <w:rsid w:val="00E3409E"/>
    <w:rsid w:val="00E34F76"/>
    <w:rsid w:val="00E37BE5"/>
    <w:rsid w:val="00E41A27"/>
    <w:rsid w:val="00E4608B"/>
    <w:rsid w:val="00E501D3"/>
    <w:rsid w:val="00E537BA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77060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005D"/>
    <w:rsid w:val="00EA1D43"/>
    <w:rsid w:val="00EA1FF3"/>
    <w:rsid w:val="00EA4EC9"/>
    <w:rsid w:val="00EA5E0F"/>
    <w:rsid w:val="00EA6FE4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728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833"/>
    <w:rsid w:val="00EE3FA9"/>
    <w:rsid w:val="00EE41C4"/>
    <w:rsid w:val="00EE76A9"/>
    <w:rsid w:val="00EE799E"/>
    <w:rsid w:val="00EE7CA8"/>
    <w:rsid w:val="00EE7FA7"/>
    <w:rsid w:val="00EF1093"/>
    <w:rsid w:val="00EF1B70"/>
    <w:rsid w:val="00EF1FCB"/>
    <w:rsid w:val="00EF21C3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65F7"/>
    <w:rsid w:val="00F277EC"/>
    <w:rsid w:val="00F27A4E"/>
    <w:rsid w:val="00F27FA6"/>
    <w:rsid w:val="00F33DC8"/>
    <w:rsid w:val="00F34444"/>
    <w:rsid w:val="00F360CE"/>
    <w:rsid w:val="00F4275C"/>
    <w:rsid w:val="00F432C7"/>
    <w:rsid w:val="00F52339"/>
    <w:rsid w:val="00F5277A"/>
    <w:rsid w:val="00F532E8"/>
    <w:rsid w:val="00F537FF"/>
    <w:rsid w:val="00F560FE"/>
    <w:rsid w:val="00F6111C"/>
    <w:rsid w:val="00F614C0"/>
    <w:rsid w:val="00F61647"/>
    <w:rsid w:val="00F62387"/>
    <w:rsid w:val="00F657CF"/>
    <w:rsid w:val="00F70A64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94"/>
    <w:rsid w:val="00F87AB3"/>
    <w:rsid w:val="00F87D1A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B7FCA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D721A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8D1DD3-3133-4E41-A366-E033AE23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BC080CE-7F11-4F6B-8294-D27875ACC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4</cp:revision>
  <cp:lastPrinted>2016-06-16T05:17:00Z</cp:lastPrinted>
  <dcterms:created xsi:type="dcterms:W3CDTF">2016-11-02T11:24:00Z</dcterms:created>
  <dcterms:modified xsi:type="dcterms:W3CDTF">2016-11-04T18:58:00Z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